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65" w:rsidRDefault="00362265" w:rsidP="00362265">
      <w:pPr>
        <w:pStyle w:val="a4"/>
        <w:rPr>
          <w:sz w:val="16"/>
          <w:szCs w:val="16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62265">
        <w:rPr>
          <w:sz w:val="16"/>
          <w:szCs w:val="16"/>
        </w:rPr>
        <w:t>Затверджено Протокол</w:t>
      </w:r>
      <w:r w:rsidRPr="00362265">
        <w:rPr>
          <w:sz w:val="16"/>
          <w:szCs w:val="16"/>
          <w:lang w:val="ru-RU"/>
        </w:rPr>
        <w:t xml:space="preserve">  </w:t>
      </w:r>
      <w:r w:rsidRPr="00362265">
        <w:rPr>
          <w:sz w:val="16"/>
          <w:szCs w:val="16"/>
        </w:rPr>
        <w:t>КУАП</w:t>
      </w:r>
    </w:p>
    <w:p w:rsidR="00362265" w:rsidRPr="008D30CA" w:rsidRDefault="00362265" w:rsidP="00362265">
      <w:pPr>
        <w:pStyle w:val="a4"/>
        <w:rPr>
          <w:sz w:val="16"/>
          <w:szCs w:val="16"/>
          <w:lang w:val="en-US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62265">
        <w:rPr>
          <w:sz w:val="16"/>
          <w:szCs w:val="16"/>
        </w:rPr>
        <w:t xml:space="preserve">АТ </w:t>
      </w:r>
      <w:r>
        <w:rPr>
          <w:sz w:val="16"/>
          <w:szCs w:val="16"/>
          <w:lang w:val="ru-RU"/>
        </w:rPr>
        <w:t xml:space="preserve"> </w:t>
      </w:r>
      <w:r w:rsidRPr="00362265">
        <w:rPr>
          <w:sz w:val="16"/>
          <w:szCs w:val="16"/>
        </w:rPr>
        <w:t xml:space="preserve">"АЛЬПАРІ БАНК" № </w:t>
      </w:r>
      <w:r w:rsidR="008D30CA" w:rsidRPr="008D30CA">
        <w:rPr>
          <w:sz w:val="16"/>
          <w:szCs w:val="16"/>
          <w:lang w:val="ru-RU"/>
        </w:rPr>
        <w:t xml:space="preserve">148 </w:t>
      </w:r>
      <w:r w:rsidRPr="00362265">
        <w:rPr>
          <w:sz w:val="16"/>
          <w:szCs w:val="16"/>
        </w:rPr>
        <w:t xml:space="preserve"> від </w:t>
      </w:r>
      <w:r w:rsidR="008D30CA">
        <w:rPr>
          <w:sz w:val="16"/>
          <w:szCs w:val="16"/>
          <w:lang w:val="en-US"/>
        </w:rPr>
        <w:t>01/10/2020</w:t>
      </w:r>
    </w:p>
    <w:p w:rsidR="00727DD7" w:rsidRDefault="00362265">
      <w:r>
        <w:rPr>
          <w:sz w:val="16"/>
          <w:szCs w:val="16"/>
          <w:lang w:val="ru-RU"/>
        </w:rPr>
        <w:t xml:space="preserve">   </w:t>
      </w:r>
      <w:r w:rsidR="00727DD7" w:rsidRPr="00727DD7">
        <w:t>Процентні ставки для фізичних осіб по депозитному продукту «Класичний» АТ «АЛЬПАР</w:t>
      </w:r>
      <w:r w:rsidR="00D52EEF">
        <w:t xml:space="preserve">І </w:t>
      </w:r>
      <w:r w:rsidR="00727DD7" w:rsidRPr="00727DD7">
        <w:t xml:space="preserve"> БАНК»</w:t>
      </w:r>
      <w:r w:rsidR="00D52EEF">
        <w:t xml:space="preserve"> з</w:t>
      </w:r>
      <w:r w:rsidR="008A39EC">
        <w:rPr>
          <w:lang w:val="ru-RU"/>
        </w:rPr>
        <w:t xml:space="preserve"> 01</w:t>
      </w:r>
      <w:r w:rsidR="00D52EEF">
        <w:t>.</w:t>
      </w:r>
      <w:r w:rsidR="008A39EC">
        <w:rPr>
          <w:lang w:val="ru-RU"/>
        </w:rPr>
        <w:t>1</w:t>
      </w:r>
      <w:r w:rsidR="00D52EEF">
        <w:t>0.2020р.</w:t>
      </w:r>
      <w:r w:rsidR="00727DD7" w:rsidRPr="00727DD7">
        <w:t xml:space="preserve">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07"/>
        <w:gridCol w:w="1429"/>
        <w:gridCol w:w="2693"/>
        <w:gridCol w:w="1559"/>
        <w:gridCol w:w="1418"/>
        <w:gridCol w:w="1559"/>
        <w:gridCol w:w="1559"/>
        <w:gridCol w:w="1560"/>
      </w:tblGrid>
      <w:tr w:rsidR="00727DD7" w:rsidTr="00362265">
        <w:tc>
          <w:tcPr>
            <w:tcW w:w="1407" w:type="dxa"/>
          </w:tcPr>
          <w:p w:rsidR="00727DD7" w:rsidRDefault="00727DD7">
            <w:r>
              <w:t>Вид депозиту</w:t>
            </w:r>
          </w:p>
        </w:tc>
        <w:tc>
          <w:tcPr>
            <w:tcW w:w="1429" w:type="dxa"/>
            <w:vMerge w:val="restart"/>
          </w:tcPr>
          <w:p w:rsidR="00727DD7" w:rsidRDefault="00727DD7">
            <w:r>
              <w:t>Валюта вкладу</w:t>
            </w:r>
          </w:p>
        </w:tc>
        <w:tc>
          <w:tcPr>
            <w:tcW w:w="2693" w:type="dxa"/>
            <w:vMerge w:val="restart"/>
          </w:tcPr>
          <w:p w:rsidR="00727DD7" w:rsidRDefault="00727DD7" w:rsidP="00727DD7">
            <w:pPr>
              <w:jc w:val="center"/>
            </w:pPr>
            <w:r>
              <w:t>Сплата процентів</w:t>
            </w:r>
          </w:p>
        </w:tc>
        <w:tc>
          <w:tcPr>
            <w:tcW w:w="7655" w:type="dxa"/>
            <w:gridSpan w:val="5"/>
          </w:tcPr>
          <w:p w:rsidR="00727DD7" w:rsidRDefault="00727DD7" w:rsidP="00727DD7">
            <w:pPr>
              <w:jc w:val="center"/>
            </w:pPr>
            <w:r>
              <w:t>Процентна ставка, річних</w:t>
            </w:r>
          </w:p>
        </w:tc>
      </w:tr>
      <w:tr w:rsidR="00727DD7" w:rsidTr="00362265">
        <w:tc>
          <w:tcPr>
            <w:tcW w:w="1407" w:type="dxa"/>
            <w:vMerge w:val="restart"/>
          </w:tcPr>
          <w:p w:rsidR="00727DD7" w:rsidRDefault="00727DD7"/>
          <w:p w:rsidR="00727DD7" w:rsidRDefault="00727DD7"/>
          <w:p w:rsidR="00727DD7" w:rsidRDefault="00727DD7"/>
          <w:p w:rsidR="00727DD7" w:rsidRDefault="00727DD7">
            <w:r>
              <w:t>Класичний</w:t>
            </w:r>
          </w:p>
        </w:tc>
        <w:tc>
          <w:tcPr>
            <w:tcW w:w="1429" w:type="dxa"/>
            <w:vMerge/>
          </w:tcPr>
          <w:p w:rsidR="00727DD7" w:rsidRDefault="00727DD7"/>
        </w:tc>
        <w:tc>
          <w:tcPr>
            <w:tcW w:w="2693" w:type="dxa"/>
            <w:vMerge/>
          </w:tcPr>
          <w:p w:rsidR="00727DD7" w:rsidRDefault="00727DD7"/>
        </w:tc>
        <w:tc>
          <w:tcPr>
            <w:tcW w:w="1559" w:type="dxa"/>
          </w:tcPr>
          <w:p w:rsidR="00727DD7" w:rsidRPr="00727DD7" w:rsidRDefault="00727DD7" w:rsidP="00727DD7">
            <w:pPr>
              <w:jc w:val="center"/>
            </w:pPr>
            <w:r w:rsidRPr="00727DD7">
              <w:t>1 місяць</w:t>
            </w:r>
          </w:p>
          <w:p w:rsidR="00727DD7" w:rsidRPr="00727DD7" w:rsidRDefault="00727DD7" w:rsidP="001723F9">
            <w:pPr>
              <w:rPr>
                <w:sz w:val="16"/>
                <w:szCs w:val="16"/>
              </w:rPr>
            </w:pPr>
            <w:r w:rsidRPr="00727DD7">
              <w:rPr>
                <w:sz w:val="16"/>
                <w:szCs w:val="16"/>
              </w:rPr>
              <w:t>Від 14 по 32 днів</w:t>
            </w:r>
          </w:p>
        </w:tc>
        <w:tc>
          <w:tcPr>
            <w:tcW w:w="1418" w:type="dxa"/>
          </w:tcPr>
          <w:p w:rsidR="00362265" w:rsidRDefault="00727DD7" w:rsidP="001723F9">
            <w:pPr>
              <w:rPr>
                <w:lang w:val="ru-RU"/>
              </w:rPr>
            </w:pPr>
            <w:r w:rsidRPr="00727DD7">
              <w:t>2 місяці</w:t>
            </w:r>
          </w:p>
          <w:p w:rsidR="00727DD7" w:rsidRPr="00727DD7" w:rsidRDefault="00727DD7" w:rsidP="001723F9">
            <w:pPr>
              <w:rPr>
                <w:sz w:val="16"/>
                <w:szCs w:val="16"/>
              </w:rPr>
            </w:pPr>
            <w:r w:rsidRPr="00727DD7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727DD7">
              <w:rPr>
                <w:rFonts w:eastAsia="Times New Roman" w:cs="Times New Roman"/>
                <w:i/>
                <w:sz w:val="16"/>
                <w:szCs w:val="16"/>
              </w:rPr>
              <w:t>від 33 по 64 днів</w:t>
            </w:r>
          </w:p>
        </w:tc>
        <w:tc>
          <w:tcPr>
            <w:tcW w:w="1559" w:type="dxa"/>
          </w:tcPr>
          <w:p w:rsidR="00362265" w:rsidRDefault="00727DD7" w:rsidP="001723F9">
            <w:pPr>
              <w:rPr>
                <w:rFonts w:eastAsia="Times New Roman" w:cs="Times New Roman"/>
                <w:sz w:val="16"/>
                <w:szCs w:val="16"/>
                <w:lang w:val="ru-RU"/>
              </w:rPr>
            </w:pPr>
            <w:r w:rsidRPr="00727DD7">
              <w:t>3 місяці</w:t>
            </w:r>
            <w:r w:rsidRPr="00727DD7">
              <w:rPr>
                <w:rFonts w:eastAsia="Times New Roman" w:cs="Times New Roman"/>
                <w:sz w:val="16"/>
                <w:szCs w:val="16"/>
              </w:rPr>
              <w:t xml:space="preserve">   </w:t>
            </w:r>
          </w:p>
          <w:p w:rsidR="00727DD7" w:rsidRPr="00727DD7" w:rsidRDefault="00727DD7" w:rsidP="001723F9">
            <w:pPr>
              <w:rPr>
                <w:sz w:val="16"/>
                <w:szCs w:val="16"/>
              </w:rPr>
            </w:pPr>
            <w:r w:rsidRPr="00727DD7">
              <w:rPr>
                <w:rFonts w:eastAsia="Times New Roman" w:cs="Times New Roman"/>
                <w:i/>
                <w:sz w:val="16"/>
                <w:szCs w:val="16"/>
              </w:rPr>
              <w:t>від 65 по 94 днів</w:t>
            </w:r>
          </w:p>
        </w:tc>
        <w:tc>
          <w:tcPr>
            <w:tcW w:w="1559" w:type="dxa"/>
          </w:tcPr>
          <w:p w:rsidR="00362265" w:rsidRDefault="00727DD7" w:rsidP="001723F9">
            <w:pPr>
              <w:rPr>
                <w:rFonts w:eastAsia="Times New Roman" w:cs="Times New Roman"/>
                <w:sz w:val="16"/>
                <w:szCs w:val="16"/>
                <w:lang w:val="ru-RU"/>
              </w:rPr>
            </w:pPr>
            <w:r w:rsidRPr="00727DD7">
              <w:t>6 місяців</w:t>
            </w:r>
            <w:r w:rsidRPr="00727DD7">
              <w:rPr>
                <w:rFonts w:eastAsia="Times New Roman" w:cs="Times New Roman"/>
                <w:sz w:val="16"/>
                <w:szCs w:val="16"/>
              </w:rPr>
              <w:t xml:space="preserve">   </w:t>
            </w:r>
          </w:p>
          <w:p w:rsidR="00727DD7" w:rsidRPr="00727DD7" w:rsidRDefault="00727DD7" w:rsidP="001723F9">
            <w:pPr>
              <w:rPr>
                <w:sz w:val="16"/>
                <w:szCs w:val="16"/>
              </w:rPr>
            </w:pPr>
            <w:r w:rsidRPr="00727DD7">
              <w:rPr>
                <w:rFonts w:eastAsia="Times New Roman" w:cs="Times New Roman"/>
                <w:i/>
                <w:sz w:val="16"/>
                <w:szCs w:val="16"/>
              </w:rPr>
              <w:t>від 95 по 184 днів</w:t>
            </w:r>
          </w:p>
        </w:tc>
        <w:tc>
          <w:tcPr>
            <w:tcW w:w="1560" w:type="dxa"/>
          </w:tcPr>
          <w:p w:rsidR="00362265" w:rsidRDefault="00727DD7" w:rsidP="001723F9">
            <w:pPr>
              <w:rPr>
                <w:lang w:val="ru-RU"/>
              </w:rPr>
            </w:pPr>
            <w:r w:rsidRPr="00727DD7">
              <w:t>12 місяців</w:t>
            </w:r>
          </w:p>
          <w:p w:rsidR="00727DD7" w:rsidRPr="00727DD7" w:rsidRDefault="00727DD7" w:rsidP="001723F9">
            <w:pPr>
              <w:rPr>
                <w:sz w:val="16"/>
                <w:szCs w:val="16"/>
              </w:rPr>
            </w:pPr>
            <w:r w:rsidRPr="00727DD7">
              <w:rPr>
                <w:rFonts w:eastAsia="Times New Roman" w:cs="Times New Roman"/>
                <w:sz w:val="16"/>
                <w:szCs w:val="16"/>
              </w:rPr>
              <w:t xml:space="preserve">   </w:t>
            </w:r>
            <w:r w:rsidRPr="00727DD7">
              <w:rPr>
                <w:rFonts w:eastAsia="Times New Roman" w:cs="Times New Roman"/>
                <w:i/>
                <w:sz w:val="16"/>
                <w:szCs w:val="16"/>
              </w:rPr>
              <w:t>від 185 по 365/366 днів</w:t>
            </w:r>
          </w:p>
        </w:tc>
        <w:bookmarkStart w:id="0" w:name="_GoBack"/>
        <w:bookmarkEnd w:id="0"/>
      </w:tr>
      <w:tr w:rsidR="008A39EC" w:rsidTr="00362265">
        <w:tc>
          <w:tcPr>
            <w:tcW w:w="1407" w:type="dxa"/>
            <w:vMerge/>
          </w:tcPr>
          <w:p w:rsidR="008A39EC" w:rsidRDefault="008A39EC"/>
        </w:tc>
        <w:tc>
          <w:tcPr>
            <w:tcW w:w="1429" w:type="dxa"/>
          </w:tcPr>
          <w:p w:rsidR="008A39EC" w:rsidRDefault="008A39EC">
            <w:r>
              <w:t>Гривня</w:t>
            </w:r>
          </w:p>
        </w:tc>
        <w:tc>
          <w:tcPr>
            <w:tcW w:w="2693" w:type="dxa"/>
          </w:tcPr>
          <w:p w:rsidR="008A39EC" w:rsidRDefault="008A39EC">
            <w:r>
              <w:t>В кінці строку</w:t>
            </w:r>
          </w:p>
        </w:tc>
        <w:tc>
          <w:tcPr>
            <w:tcW w:w="1559" w:type="dxa"/>
          </w:tcPr>
          <w:p w:rsidR="008A39EC" w:rsidRDefault="008A39EC" w:rsidP="008A39EC">
            <w:r>
              <w:rPr>
                <w:lang w:val="ru-RU"/>
              </w:rPr>
              <w:t>0</w:t>
            </w:r>
            <w:r>
              <w:t>,</w:t>
            </w:r>
            <w:r>
              <w:rPr>
                <w:lang w:val="ru-RU"/>
              </w:rPr>
              <w:t>1</w:t>
            </w:r>
            <w:r>
              <w:t>0</w:t>
            </w:r>
          </w:p>
        </w:tc>
        <w:tc>
          <w:tcPr>
            <w:tcW w:w="1418" w:type="dxa"/>
          </w:tcPr>
          <w:p w:rsidR="008A39EC" w:rsidRDefault="008A39EC">
            <w:r w:rsidRPr="004A4289">
              <w:rPr>
                <w:lang w:val="ru-RU"/>
              </w:rPr>
              <w:t>0</w:t>
            </w:r>
            <w:r w:rsidRPr="004A4289">
              <w:t>,</w:t>
            </w:r>
            <w:r w:rsidRPr="004A4289">
              <w:rPr>
                <w:lang w:val="ru-RU"/>
              </w:rPr>
              <w:t>1</w:t>
            </w:r>
            <w:r w:rsidRPr="004A4289">
              <w:t>0</w:t>
            </w:r>
          </w:p>
        </w:tc>
        <w:tc>
          <w:tcPr>
            <w:tcW w:w="1559" w:type="dxa"/>
          </w:tcPr>
          <w:p w:rsidR="008A39EC" w:rsidRDefault="008A39EC">
            <w:r w:rsidRPr="004A4289">
              <w:rPr>
                <w:lang w:val="ru-RU"/>
              </w:rPr>
              <w:t>0</w:t>
            </w:r>
            <w:r w:rsidRPr="004A4289">
              <w:t>,</w:t>
            </w:r>
            <w:r w:rsidRPr="004A4289">
              <w:rPr>
                <w:lang w:val="ru-RU"/>
              </w:rPr>
              <w:t>1</w:t>
            </w:r>
            <w:r w:rsidRPr="004A4289">
              <w:t>0</w:t>
            </w:r>
          </w:p>
        </w:tc>
        <w:tc>
          <w:tcPr>
            <w:tcW w:w="1559" w:type="dxa"/>
          </w:tcPr>
          <w:p w:rsidR="008A39EC" w:rsidRDefault="008A39EC">
            <w:r w:rsidRPr="004A4289">
              <w:rPr>
                <w:lang w:val="ru-RU"/>
              </w:rPr>
              <w:t>0</w:t>
            </w:r>
            <w:r w:rsidRPr="004A4289">
              <w:t>,</w:t>
            </w:r>
            <w:r w:rsidRPr="004A4289">
              <w:rPr>
                <w:lang w:val="ru-RU"/>
              </w:rPr>
              <w:t>1</w:t>
            </w:r>
            <w:r w:rsidRPr="004A4289">
              <w:t>0</w:t>
            </w:r>
          </w:p>
        </w:tc>
        <w:tc>
          <w:tcPr>
            <w:tcW w:w="1560" w:type="dxa"/>
          </w:tcPr>
          <w:p w:rsidR="008A39EC" w:rsidRDefault="008A39EC">
            <w:r w:rsidRPr="004A4289">
              <w:rPr>
                <w:lang w:val="ru-RU"/>
              </w:rPr>
              <w:t>0</w:t>
            </w:r>
            <w:r w:rsidRPr="004A4289">
              <w:t>,</w:t>
            </w:r>
            <w:r w:rsidRPr="004A4289">
              <w:rPr>
                <w:lang w:val="ru-RU"/>
              </w:rPr>
              <w:t>1</w:t>
            </w:r>
            <w:r w:rsidRPr="004A4289">
              <w:t>0</w:t>
            </w:r>
          </w:p>
        </w:tc>
      </w:tr>
      <w:tr w:rsidR="008A39EC" w:rsidTr="00362265">
        <w:tc>
          <w:tcPr>
            <w:tcW w:w="1407" w:type="dxa"/>
            <w:vMerge/>
          </w:tcPr>
          <w:p w:rsidR="008A39EC" w:rsidRDefault="008A39EC"/>
        </w:tc>
        <w:tc>
          <w:tcPr>
            <w:tcW w:w="1429" w:type="dxa"/>
          </w:tcPr>
          <w:p w:rsidR="008A39EC" w:rsidRDefault="008A39EC">
            <w:r>
              <w:t>Долари США</w:t>
            </w:r>
          </w:p>
        </w:tc>
        <w:tc>
          <w:tcPr>
            <w:tcW w:w="2693" w:type="dxa"/>
          </w:tcPr>
          <w:p w:rsidR="008A39EC" w:rsidRDefault="008A39EC" w:rsidP="001723F9">
            <w:r>
              <w:t>В кінці строку</w:t>
            </w:r>
          </w:p>
        </w:tc>
        <w:tc>
          <w:tcPr>
            <w:tcW w:w="1559" w:type="dxa"/>
          </w:tcPr>
          <w:p w:rsidR="008A39EC" w:rsidRDefault="008A39EC">
            <w:r w:rsidRPr="00AE4186">
              <w:rPr>
                <w:lang w:val="ru-RU"/>
              </w:rPr>
              <w:t>0</w:t>
            </w:r>
            <w:r w:rsidRPr="00AE4186">
              <w:t>,</w:t>
            </w:r>
            <w:r w:rsidRPr="00AE4186">
              <w:rPr>
                <w:lang w:val="ru-RU"/>
              </w:rPr>
              <w:t>1</w:t>
            </w:r>
            <w:r w:rsidRPr="00AE4186">
              <w:t>0</w:t>
            </w:r>
          </w:p>
        </w:tc>
        <w:tc>
          <w:tcPr>
            <w:tcW w:w="1418" w:type="dxa"/>
          </w:tcPr>
          <w:p w:rsidR="008A39EC" w:rsidRDefault="008A39EC">
            <w:r w:rsidRPr="004A4289">
              <w:rPr>
                <w:lang w:val="ru-RU"/>
              </w:rPr>
              <w:t>0</w:t>
            </w:r>
            <w:r w:rsidRPr="004A4289">
              <w:t>,</w:t>
            </w:r>
            <w:r w:rsidRPr="004A4289">
              <w:rPr>
                <w:lang w:val="ru-RU"/>
              </w:rPr>
              <w:t>1</w:t>
            </w:r>
            <w:r w:rsidRPr="004A4289">
              <w:t>0</w:t>
            </w:r>
          </w:p>
        </w:tc>
        <w:tc>
          <w:tcPr>
            <w:tcW w:w="1559" w:type="dxa"/>
          </w:tcPr>
          <w:p w:rsidR="008A39EC" w:rsidRDefault="008A39EC">
            <w:r w:rsidRPr="004A4289">
              <w:rPr>
                <w:lang w:val="ru-RU"/>
              </w:rPr>
              <w:t>0</w:t>
            </w:r>
            <w:r w:rsidRPr="004A4289">
              <w:t>,</w:t>
            </w:r>
            <w:r w:rsidRPr="004A4289">
              <w:rPr>
                <w:lang w:val="ru-RU"/>
              </w:rPr>
              <w:t>1</w:t>
            </w:r>
            <w:r w:rsidRPr="004A4289">
              <w:t>0</w:t>
            </w:r>
          </w:p>
        </w:tc>
        <w:tc>
          <w:tcPr>
            <w:tcW w:w="1559" w:type="dxa"/>
          </w:tcPr>
          <w:p w:rsidR="008A39EC" w:rsidRDefault="008A39EC">
            <w:r w:rsidRPr="004A4289">
              <w:rPr>
                <w:lang w:val="ru-RU"/>
              </w:rPr>
              <w:t>0</w:t>
            </w:r>
            <w:r w:rsidRPr="004A4289">
              <w:t>,</w:t>
            </w:r>
            <w:r w:rsidRPr="004A4289">
              <w:rPr>
                <w:lang w:val="ru-RU"/>
              </w:rPr>
              <w:t>1</w:t>
            </w:r>
            <w:r w:rsidRPr="004A4289">
              <w:t>0</w:t>
            </w:r>
          </w:p>
        </w:tc>
        <w:tc>
          <w:tcPr>
            <w:tcW w:w="1560" w:type="dxa"/>
          </w:tcPr>
          <w:p w:rsidR="008A39EC" w:rsidRDefault="008A39EC">
            <w:r w:rsidRPr="004A4289">
              <w:rPr>
                <w:lang w:val="ru-RU"/>
              </w:rPr>
              <w:t>0</w:t>
            </w:r>
            <w:r w:rsidRPr="004A4289">
              <w:t>,</w:t>
            </w:r>
            <w:r w:rsidRPr="004A4289">
              <w:rPr>
                <w:lang w:val="ru-RU"/>
              </w:rPr>
              <w:t>1</w:t>
            </w:r>
            <w:r w:rsidRPr="004A4289">
              <w:t>0</w:t>
            </w:r>
          </w:p>
        </w:tc>
      </w:tr>
      <w:tr w:rsidR="008A39EC" w:rsidTr="00362265">
        <w:tc>
          <w:tcPr>
            <w:tcW w:w="1407" w:type="dxa"/>
            <w:vMerge/>
          </w:tcPr>
          <w:p w:rsidR="008A39EC" w:rsidRDefault="008A39EC"/>
        </w:tc>
        <w:tc>
          <w:tcPr>
            <w:tcW w:w="1429" w:type="dxa"/>
          </w:tcPr>
          <w:p w:rsidR="008A39EC" w:rsidRDefault="008A39EC">
            <w:r>
              <w:t>Євро</w:t>
            </w:r>
          </w:p>
        </w:tc>
        <w:tc>
          <w:tcPr>
            <w:tcW w:w="2693" w:type="dxa"/>
          </w:tcPr>
          <w:p w:rsidR="008A39EC" w:rsidRDefault="008A39EC" w:rsidP="001723F9">
            <w:r>
              <w:t>В кінці строку</w:t>
            </w:r>
          </w:p>
        </w:tc>
        <w:tc>
          <w:tcPr>
            <w:tcW w:w="1559" w:type="dxa"/>
          </w:tcPr>
          <w:p w:rsidR="008A39EC" w:rsidRDefault="008A39EC">
            <w:r w:rsidRPr="00AE4186">
              <w:rPr>
                <w:lang w:val="ru-RU"/>
              </w:rPr>
              <w:t>0</w:t>
            </w:r>
            <w:r w:rsidRPr="00AE4186">
              <w:t>,</w:t>
            </w:r>
            <w:r w:rsidRPr="00AE4186">
              <w:rPr>
                <w:lang w:val="ru-RU"/>
              </w:rPr>
              <w:t>1</w:t>
            </w:r>
            <w:r w:rsidRPr="00AE4186">
              <w:t>0</w:t>
            </w:r>
          </w:p>
        </w:tc>
        <w:tc>
          <w:tcPr>
            <w:tcW w:w="1418" w:type="dxa"/>
          </w:tcPr>
          <w:p w:rsidR="008A39EC" w:rsidRDefault="008A39EC">
            <w:r w:rsidRPr="004A4289">
              <w:rPr>
                <w:lang w:val="ru-RU"/>
              </w:rPr>
              <w:t>0</w:t>
            </w:r>
            <w:r w:rsidRPr="004A4289">
              <w:t>,</w:t>
            </w:r>
            <w:r w:rsidRPr="004A4289">
              <w:rPr>
                <w:lang w:val="ru-RU"/>
              </w:rPr>
              <w:t>1</w:t>
            </w:r>
            <w:r w:rsidRPr="004A4289">
              <w:t>0</w:t>
            </w:r>
          </w:p>
        </w:tc>
        <w:tc>
          <w:tcPr>
            <w:tcW w:w="1559" w:type="dxa"/>
          </w:tcPr>
          <w:p w:rsidR="008A39EC" w:rsidRDefault="008A39EC">
            <w:r w:rsidRPr="004A4289">
              <w:rPr>
                <w:lang w:val="ru-RU"/>
              </w:rPr>
              <w:t>0</w:t>
            </w:r>
            <w:r w:rsidRPr="004A4289">
              <w:t>,</w:t>
            </w:r>
            <w:r w:rsidRPr="004A4289">
              <w:rPr>
                <w:lang w:val="ru-RU"/>
              </w:rPr>
              <w:t>1</w:t>
            </w:r>
            <w:r w:rsidRPr="004A4289">
              <w:t>0</w:t>
            </w:r>
          </w:p>
        </w:tc>
        <w:tc>
          <w:tcPr>
            <w:tcW w:w="1559" w:type="dxa"/>
          </w:tcPr>
          <w:p w:rsidR="008A39EC" w:rsidRDefault="008A39EC">
            <w:r w:rsidRPr="004A4289">
              <w:rPr>
                <w:lang w:val="ru-RU"/>
              </w:rPr>
              <w:t>0</w:t>
            </w:r>
            <w:r w:rsidRPr="004A4289">
              <w:t>,</w:t>
            </w:r>
            <w:r w:rsidRPr="004A4289">
              <w:rPr>
                <w:lang w:val="ru-RU"/>
              </w:rPr>
              <w:t>1</w:t>
            </w:r>
            <w:r w:rsidRPr="004A4289">
              <w:t>0</w:t>
            </w:r>
          </w:p>
        </w:tc>
        <w:tc>
          <w:tcPr>
            <w:tcW w:w="1560" w:type="dxa"/>
          </w:tcPr>
          <w:p w:rsidR="008A39EC" w:rsidRDefault="008A39EC">
            <w:r w:rsidRPr="004A4289">
              <w:rPr>
                <w:lang w:val="ru-RU"/>
              </w:rPr>
              <w:t>0</w:t>
            </w:r>
            <w:r w:rsidRPr="004A4289">
              <w:t>,</w:t>
            </w:r>
            <w:r w:rsidRPr="004A4289">
              <w:rPr>
                <w:lang w:val="ru-RU"/>
              </w:rPr>
              <w:t>1</w:t>
            </w:r>
            <w:r w:rsidRPr="004A4289">
              <w:t>0</w:t>
            </w:r>
          </w:p>
        </w:tc>
      </w:tr>
    </w:tbl>
    <w:p w:rsidR="00727DD7" w:rsidRPr="00727DD7" w:rsidRDefault="00727DD7" w:rsidP="00727DD7">
      <w:pPr>
        <w:numPr>
          <w:ilvl w:val="0"/>
          <w:numId w:val="1"/>
        </w:numPr>
        <w:shd w:val="clear" w:color="auto" w:fill="F1F3F5"/>
        <w:spacing w:before="100" w:beforeAutospacing="1" w:after="100" w:afterAutospacing="1" w:line="240" w:lineRule="auto"/>
        <w:ind w:left="331" w:right="389"/>
      </w:pPr>
      <w:r w:rsidRPr="00727DD7">
        <w:t>Строк вкладу від 1 до 12 місяців.</w:t>
      </w:r>
    </w:p>
    <w:p w:rsidR="00727DD7" w:rsidRPr="00727DD7" w:rsidRDefault="00727DD7" w:rsidP="00727DD7">
      <w:pPr>
        <w:numPr>
          <w:ilvl w:val="0"/>
          <w:numId w:val="1"/>
        </w:numPr>
        <w:shd w:val="clear" w:color="auto" w:fill="F1F3F5"/>
        <w:spacing w:before="100" w:beforeAutospacing="1" w:after="100" w:afterAutospacing="1" w:line="240" w:lineRule="auto"/>
        <w:ind w:left="331" w:right="389"/>
      </w:pPr>
      <w:r w:rsidRPr="00727DD7">
        <w:t>Мінімальна сума вкладу - не менше ніж 10000,00 грн., 500,00 доларів США., 500,00 Євро.</w:t>
      </w:r>
    </w:p>
    <w:p w:rsidR="00727DD7" w:rsidRPr="00727DD7" w:rsidRDefault="00727DD7" w:rsidP="00727DD7">
      <w:pPr>
        <w:numPr>
          <w:ilvl w:val="0"/>
          <w:numId w:val="1"/>
        </w:numPr>
        <w:shd w:val="clear" w:color="auto" w:fill="F1F3F5"/>
        <w:spacing w:before="100" w:beforeAutospacing="1" w:after="100" w:afterAutospacing="1" w:line="240" w:lineRule="auto"/>
        <w:ind w:left="331" w:right="389"/>
      </w:pPr>
      <w:r w:rsidRPr="00727DD7">
        <w:t>Без поповнення.</w:t>
      </w:r>
    </w:p>
    <w:p w:rsidR="00727DD7" w:rsidRDefault="00727DD7" w:rsidP="00727DD7">
      <w:pPr>
        <w:numPr>
          <w:ilvl w:val="0"/>
          <w:numId w:val="1"/>
        </w:numPr>
        <w:shd w:val="clear" w:color="auto" w:fill="F1F3F5"/>
        <w:spacing w:before="100" w:beforeAutospacing="1" w:after="100" w:afterAutospacing="1" w:line="240" w:lineRule="auto"/>
        <w:ind w:left="331" w:right="389"/>
      </w:pPr>
      <w:r w:rsidRPr="00727DD7">
        <w:t>Виплата відсотків - в кінці строку.</w:t>
      </w:r>
    </w:p>
    <w:p w:rsidR="00D52EEF" w:rsidRPr="00727DD7" w:rsidRDefault="00D52EEF" w:rsidP="00727DD7">
      <w:pPr>
        <w:numPr>
          <w:ilvl w:val="0"/>
          <w:numId w:val="1"/>
        </w:numPr>
        <w:shd w:val="clear" w:color="auto" w:fill="F1F3F5"/>
        <w:spacing w:before="100" w:beforeAutospacing="1" w:after="100" w:afterAutospacing="1" w:line="240" w:lineRule="auto"/>
        <w:ind w:left="331" w:right="389"/>
      </w:pPr>
      <w:r>
        <w:t>Умови дострокового розірвання – не передбачено</w:t>
      </w:r>
    </w:p>
    <w:p w:rsidR="00727DD7" w:rsidRDefault="00D52EEF" w:rsidP="00727DD7">
      <w:pPr>
        <w:numPr>
          <w:ilvl w:val="0"/>
          <w:numId w:val="1"/>
        </w:numPr>
        <w:shd w:val="clear" w:color="auto" w:fill="F1F3F5"/>
        <w:spacing w:before="100" w:beforeAutospacing="1" w:after="100" w:afterAutospacing="1" w:line="240" w:lineRule="auto"/>
        <w:ind w:left="331" w:right="389"/>
      </w:pPr>
      <w:r>
        <w:t>Автоматичне продовження строку дії договору – допускається</w:t>
      </w:r>
    </w:p>
    <w:p w:rsidR="00D52EEF" w:rsidRDefault="00D52EEF" w:rsidP="00D52EEF">
      <w:r w:rsidRPr="00727DD7">
        <w:t>Процентні ставки для фізичних осіб по депозитному продукту «</w:t>
      </w:r>
      <w:proofErr w:type="spellStart"/>
      <w:r w:rsidRPr="00727DD7">
        <w:t>Класичний</w:t>
      </w:r>
      <w:r>
        <w:t>+</w:t>
      </w:r>
      <w:proofErr w:type="spellEnd"/>
      <w:r w:rsidRPr="00727DD7">
        <w:t>» АТ «АЛЬПАР</w:t>
      </w:r>
      <w:r>
        <w:t>І</w:t>
      </w:r>
      <w:r w:rsidRPr="00727DD7">
        <w:t xml:space="preserve"> БАНК»</w:t>
      </w:r>
      <w:r>
        <w:t xml:space="preserve"> з </w:t>
      </w:r>
      <w:r w:rsidR="008A39EC">
        <w:rPr>
          <w:lang w:val="ru-RU"/>
        </w:rPr>
        <w:t>01</w:t>
      </w:r>
      <w:r>
        <w:t>.</w:t>
      </w:r>
      <w:r w:rsidR="008A39EC">
        <w:rPr>
          <w:lang w:val="ru-RU"/>
        </w:rPr>
        <w:t>1</w:t>
      </w:r>
      <w:r>
        <w:t>0.2020р.</w:t>
      </w:r>
      <w:r w:rsidRPr="00727DD7">
        <w:t xml:space="preserve">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2693"/>
        <w:gridCol w:w="1559"/>
        <w:gridCol w:w="1418"/>
        <w:gridCol w:w="1559"/>
        <w:gridCol w:w="1559"/>
        <w:gridCol w:w="1560"/>
      </w:tblGrid>
      <w:tr w:rsidR="00D52EEF" w:rsidTr="00362265">
        <w:tc>
          <w:tcPr>
            <w:tcW w:w="1418" w:type="dxa"/>
          </w:tcPr>
          <w:p w:rsidR="00D52EEF" w:rsidRDefault="00D52EEF" w:rsidP="001723F9">
            <w:r>
              <w:t>Вид депозиту</w:t>
            </w:r>
          </w:p>
        </w:tc>
        <w:tc>
          <w:tcPr>
            <w:tcW w:w="1418" w:type="dxa"/>
            <w:vMerge w:val="restart"/>
          </w:tcPr>
          <w:p w:rsidR="00D52EEF" w:rsidRDefault="00D52EEF" w:rsidP="001723F9">
            <w:r>
              <w:t>Валюта вкладу</w:t>
            </w:r>
          </w:p>
        </w:tc>
        <w:tc>
          <w:tcPr>
            <w:tcW w:w="2693" w:type="dxa"/>
            <w:vMerge w:val="restart"/>
          </w:tcPr>
          <w:p w:rsidR="00D52EEF" w:rsidRDefault="00D52EEF" w:rsidP="001723F9">
            <w:pPr>
              <w:jc w:val="center"/>
            </w:pPr>
            <w:r>
              <w:t>Сплата процентів</w:t>
            </w:r>
          </w:p>
        </w:tc>
        <w:tc>
          <w:tcPr>
            <w:tcW w:w="7655" w:type="dxa"/>
            <w:gridSpan w:val="5"/>
          </w:tcPr>
          <w:p w:rsidR="00D52EEF" w:rsidRDefault="00D52EEF" w:rsidP="001723F9">
            <w:pPr>
              <w:jc w:val="center"/>
            </w:pPr>
            <w:r>
              <w:t>Процентна ставка, річних</w:t>
            </w:r>
          </w:p>
        </w:tc>
      </w:tr>
      <w:tr w:rsidR="00D52EEF" w:rsidTr="00362265">
        <w:tc>
          <w:tcPr>
            <w:tcW w:w="1418" w:type="dxa"/>
            <w:vMerge w:val="restart"/>
          </w:tcPr>
          <w:p w:rsidR="00D52EEF" w:rsidRDefault="00D52EEF" w:rsidP="001723F9"/>
          <w:p w:rsidR="00D52EEF" w:rsidRDefault="00D52EEF" w:rsidP="001723F9"/>
          <w:p w:rsidR="00D52EEF" w:rsidRDefault="00D52EEF" w:rsidP="001723F9"/>
          <w:p w:rsidR="00D52EEF" w:rsidRDefault="00D52EEF" w:rsidP="001723F9">
            <w:proofErr w:type="spellStart"/>
            <w:r>
              <w:t>Класичний+</w:t>
            </w:r>
            <w:proofErr w:type="spellEnd"/>
          </w:p>
        </w:tc>
        <w:tc>
          <w:tcPr>
            <w:tcW w:w="1418" w:type="dxa"/>
            <w:vMerge/>
          </w:tcPr>
          <w:p w:rsidR="00D52EEF" w:rsidRDefault="00D52EEF" w:rsidP="001723F9"/>
        </w:tc>
        <w:tc>
          <w:tcPr>
            <w:tcW w:w="2693" w:type="dxa"/>
            <w:vMerge/>
          </w:tcPr>
          <w:p w:rsidR="00D52EEF" w:rsidRDefault="00D52EEF" w:rsidP="001723F9"/>
        </w:tc>
        <w:tc>
          <w:tcPr>
            <w:tcW w:w="1559" w:type="dxa"/>
          </w:tcPr>
          <w:p w:rsidR="00D52EEF" w:rsidRPr="00727DD7" w:rsidRDefault="00D52EEF" w:rsidP="001723F9">
            <w:pPr>
              <w:jc w:val="center"/>
            </w:pPr>
            <w:r w:rsidRPr="00727DD7">
              <w:t>1 місяць</w:t>
            </w:r>
          </w:p>
          <w:p w:rsidR="00D52EEF" w:rsidRPr="00727DD7" w:rsidRDefault="00D52EEF" w:rsidP="001723F9">
            <w:pPr>
              <w:rPr>
                <w:sz w:val="16"/>
                <w:szCs w:val="16"/>
              </w:rPr>
            </w:pPr>
            <w:r w:rsidRPr="00727DD7">
              <w:rPr>
                <w:sz w:val="16"/>
                <w:szCs w:val="16"/>
              </w:rPr>
              <w:t>Від 14 по 32 днів</w:t>
            </w:r>
          </w:p>
        </w:tc>
        <w:tc>
          <w:tcPr>
            <w:tcW w:w="1418" w:type="dxa"/>
          </w:tcPr>
          <w:p w:rsidR="00362265" w:rsidRDefault="00D52EEF" w:rsidP="001723F9">
            <w:pPr>
              <w:rPr>
                <w:lang w:val="ru-RU"/>
              </w:rPr>
            </w:pPr>
            <w:r w:rsidRPr="00727DD7">
              <w:t>2 місяці</w:t>
            </w:r>
          </w:p>
          <w:p w:rsidR="00D52EEF" w:rsidRPr="00727DD7" w:rsidRDefault="00D52EEF" w:rsidP="001723F9">
            <w:pPr>
              <w:rPr>
                <w:sz w:val="16"/>
                <w:szCs w:val="16"/>
              </w:rPr>
            </w:pPr>
            <w:r w:rsidRPr="00727DD7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727DD7">
              <w:rPr>
                <w:rFonts w:eastAsia="Times New Roman" w:cs="Times New Roman"/>
                <w:i/>
                <w:sz w:val="16"/>
                <w:szCs w:val="16"/>
              </w:rPr>
              <w:t>від 33 по 64 днів</w:t>
            </w:r>
          </w:p>
        </w:tc>
        <w:tc>
          <w:tcPr>
            <w:tcW w:w="1559" w:type="dxa"/>
          </w:tcPr>
          <w:p w:rsidR="00362265" w:rsidRDefault="00D52EEF" w:rsidP="00362265">
            <w:pPr>
              <w:rPr>
                <w:rFonts w:eastAsia="Times New Roman" w:cs="Times New Roman"/>
                <w:sz w:val="16"/>
                <w:szCs w:val="16"/>
                <w:lang w:val="ru-RU"/>
              </w:rPr>
            </w:pPr>
            <w:r w:rsidRPr="00727DD7">
              <w:t>3 місяці</w:t>
            </w:r>
            <w:r w:rsidRPr="00727DD7">
              <w:rPr>
                <w:rFonts w:eastAsia="Times New Roman" w:cs="Times New Roman"/>
                <w:sz w:val="16"/>
                <w:szCs w:val="16"/>
              </w:rPr>
              <w:t xml:space="preserve">   </w:t>
            </w:r>
          </w:p>
          <w:p w:rsidR="00D52EEF" w:rsidRPr="00727DD7" w:rsidRDefault="00362265" w:rsidP="00362265">
            <w:pPr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в</w:t>
            </w:r>
            <w:proofErr w:type="spellStart"/>
            <w:r w:rsidR="00D52EEF" w:rsidRPr="00727DD7">
              <w:rPr>
                <w:rFonts w:eastAsia="Times New Roman" w:cs="Times New Roman"/>
                <w:i/>
                <w:sz w:val="16"/>
                <w:szCs w:val="16"/>
              </w:rPr>
              <w:t>ід</w:t>
            </w:r>
            <w:proofErr w:type="spellEnd"/>
            <w:r w:rsidR="00D52EEF" w:rsidRPr="00727DD7">
              <w:rPr>
                <w:rFonts w:eastAsia="Times New Roman" w:cs="Times New Roman"/>
                <w:i/>
                <w:sz w:val="16"/>
                <w:szCs w:val="16"/>
              </w:rPr>
              <w:t xml:space="preserve"> 65 по 94 днів</w:t>
            </w:r>
          </w:p>
        </w:tc>
        <w:tc>
          <w:tcPr>
            <w:tcW w:w="1559" w:type="dxa"/>
          </w:tcPr>
          <w:p w:rsidR="00362265" w:rsidRDefault="00D52EEF" w:rsidP="001723F9">
            <w:pPr>
              <w:rPr>
                <w:rFonts w:eastAsia="Times New Roman" w:cs="Times New Roman"/>
                <w:sz w:val="16"/>
                <w:szCs w:val="16"/>
                <w:lang w:val="ru-RU"/>
              </w:rPr>
            </w:pPr>
            <w:r w:rsidRPr="00727DD7">
              <w:t>6 місяців</w:t>
            </w:r>
            <w:r w:rsidRPr="00727DD7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:rsidR="00D52EEF" w:rsidRPr="00727DD7" w:rsidRDefault="00362265" w:rsidP="001723F9">
            <w:pPr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D52EEF" w:rsidRPr="00727DD7">
              <w:rPr>
                <w:rFonts w:eastAsia="Times New Roman" w:cs="Times New Roman"/>
                <w:i/>
                <w:sz w:val="16"/>
                <w:szCs w:val="16"/>
              </w:rPr>
              <w:t>від 95 по 184 днів</w:t>
            </w:r>
          </w:p>
        </w:tc>
        <w:tc>
          <w:tcPr>
            <w:tcW w:w="1560" w:type="dxa"/>
          </w:tcPr>
          <w:p w:rsidR="00362265" w:rsidRDefault="00D52EEF" w:rsidP="001723F9">
            <w:pPr>
              <w:rPr>
                <w:lang w:val="ru-RU"/>
              </w:rPr>
            </w:pPr>
            <w:r w:rsidRPr="00727DD7">
              <w:t>12 місяців</w:t>
            </w:r>
          </w:p>
          <w:p w:rsidR="00D52EEF" w:rsidRPr="00727DD7" w:rsidRDefault="00D52EEF" w:rsidP="001723F9">
            <w:pPr>
              <w:rPr>
                <w:sz w:val="16"/>
                <w:szCs w:val="16"/>
              </w:rPr>
            </w:pPr>
            <w:r w:rsidRPr="00727DD7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727DD7">
              <w:rPr>
                <w:rFonts w:eastAsia="Times New Roman" w:cs="Times New Roman"/>
                <w:i/>
                <w:sz w:val="16"/>
                <w:szCs w:val="16"/>
              </w:rPr>
              <w:t>від 185 по 365/366 днів</w:t>
            </w:r>
          </w:p>
        </w:tc>
      </w:tr>
      <w:tr w:rsidR="008A39EC" w:rsidTr="00362265">
        <w:tc>
          <w:tcPr>
            <w:tcW w:w="1418" w:type="dxa"/>
            <w:vMerge/>
          </w:tcPr>
          <w:p w:rsidR="008A39EC" w:rsidRDefault="008A39EC" w:rsidP="001723F9"/>
        </w:tc>
        <w:tc>
          <w:tcPr>
            <w:tcW w:w="1418" w:type="dxa"/>
          </w:tcPr>
          <w:p w:rsidR="008A39EC" w:rsidRDefault="008A39EC" w:rsidP="001723F9">
            <w:r>
              <w:t>Гривня</w:t>
            </w:r>
          </w:p>
        </w:tc>
        <w:tc>
          <w:tcPr>
            <w:tcW w:w="2693" w:type="dxa"/>
          </w:tcPr>
          <w:p w:rsidR="008A39EC" w:rsidRDefault="008A39EC" w:rsidP="00D52EEF">
            <w:r>
              <w:t>щомісячно</w:t>
            </w:r>
          </w:p>
        </w:tc>
        <w:tc>
          <w:tcPr>
            <w:tcW w:w="1559" w:type="dxa"/>
          </w:tcPr>
          <w:p w:rsidR="008A39EC" w:rsidRDefault="008A39EC" w:rsidP="00C752A3">
            <w:r>
              <w:rPr>
                <w:lang w:val="ru-RU"/>
              </w:rPr>
              <w:t>0</w:t>
            </w:r>
            <w:r>
              <w:t>,</w:t>
            </w:r>
            <w:r>
              <w:rPr>
                <w:lang w:val="ru-RU"/>
              </w:rPr>
              <w:t>1</w:t>
            </w:r>
            <w:r>
              <w:t>0</w:t>
            </w:r>
          </w:p>
        </w:tc>
        <w:tc>
          <w:tcPr>
            <w:tcW w:w="1418" w:type="dxa"/>
          </w:tcPr>
          <w:p w:rsidR="008A39EC" w:rsidRDefault="008A39EC" w:rsidP="00C752A3">
            <w:r w:rsidRPr="004A4289">
              <w:rPr>
                <w:lang w:val="ru-RU"/>
              </w:rPr>
              <w:t>0</w:t>
            </w:r>
            <w:r w:rsidRPr="004A4289">
              <w:t>,</w:t>
            </w:r>
            <w:r w:rsidRPr="004A4289">
              <w:rPr>
                <w:lang w:val="ru-RU"/>
              </w:rPr>
              <w:t>1</w:t>
            </w:r>
            <w:r w:rsidRPr="004A4289">
              <w:t>0</w:t>
            </w:r>
          </w:p>
        </w:tc>
        <w:tc>
          <w:tcPr>
            <w:tcW w:w="1559" w:type="dxa"/>
          </w:tcPr>
          <w:p w:rsidR="008A39EC" w:rsidRDefault="008A39EC" w:rsidP="00C752A3">
            <w:r w:rsidRPr="004A4289">
              <w:rPr>
                <w:lang w:val="ru-RU"/>
              </w:rPr>
              <w:t>0</w:t>
            </w:r>
            <w:r w:rsidRPr="004A4289">
              <w:t>,</w:t>
            </w:r>
            <w:r w:rsidRPr="004A4289">
              <w:rPr>
                <w:lang w:val="ru-RU"/>
              </w:rPr>
              <w:t>1</w:t>
            </w:r>
            <w:r w:rsidRPr="004A4289">
              <w:t>0</w:t>
            </w:r>
          </w:p>
        </w:tc>
        <w:tc>
          <w:tcPr>
            <w:tcW w:w="1559" w:type="dxa"/>
          </w:tcPr>
          <w:p w:rsidR="008A39EC" w:rsidRDefault="008A39EC" w:rsidP="00C752A3">
            <w:r w:rsidRPr="004A4289">
              <w:rPr>
                <w:lang w:val="ru-RU"/>
              </w:rPr>
              <w:t>0</w:t>
            </w:r>
            <w:r w:rsidRPr="004A4289">
              <w:t>,</w:t>
            </w:r>
            <w:r w:rsidRPr="004A4289">
              <w:rPr>
                <w:lang w:val="ru-RU"/>
              </w:rPr>
              <w:t>1</w:t>
            </w:r>
            <w:r w:rsidRPr="004A4289">
              <w:t>0</w:t>
            </w:r>
          </w:p>
        </w:tc>
        <w:tc>
          <w:tcPr>
            <w:tcW w:w="1560" w:type="dxa"/>
          </w:tcPr>
          <w:p w:rsidR="008A39EC" w:rsidRDefault="008A39EC" w:rsidP="00C752A3">
            <w:r w:rsidRPr="004A4289">
              <w:rPr>
                <w:lang w:val="ru-RU"/>
              </w:rPr>
              <w:t>0</w:t>
            </w:r>
            <w:r w:rsidRPr="004A4289">
              <w:t>,</w:t>
            </w:r>
            <w:r w:rsidRPr="004A4289">
              <w:rPr>
                <w:lang w:val="ru-RU"/>
              </w:rPr>
              <w:t>1</w:t>
            </w:r>
            <w:r w:rsidRPr="004A4289">
              <w:t>0</w:t>
            </w:r>
          </w:p>
        </w:tc>
      </w:tr>
      <w:tr w:rsidR="008A39EC" w:rsidTr="00362265">
        <w:tc>
          <w:tcPr>
            <w:tcW w:w="1418" w:type="dxa"/>
            <w:vMerge/>
          </w:tcPr>
          <w:p w:rsidR="008A39EC" w:rsidRDefault="008A39EC" w:rsidP="001723F9"/>
        </w:tc>
        <w:tc>
          <w:tcPr>
            <w:tcW w:w="1418" w:type="dxa"/>
          </w:tcPr>
          <w:p w:rsidR="008A39EC" w:rsidRDefault="008A39EC" w:rsidP="001723F9">
            <w:r>
              <w:t>Долари США</w:t>
            </w:r>
          </w:p>
        </w:tc>
        <w:tc>
          <w:tcPr>
            <w:tcW w:w="2693" w:type="dxa"/>
          </w:tcPr>
          <w:p w:rsidR="008A39EC" w:rsidRDefault="008A39EC" w:rsidP="001723F9">
            <w:r>
              <w:t>щомісячно</w:t>
            </w:r>
          </w:p>
        </w:tc>
        <w:tc>
          <w:tcPr>
            <w:tcW w:w="1559" w:type="dxa"/>
          </w:tcPr>
          <w:p w:rsidR="008A39EC" w:rsidRDefault="008A39EC" w:rsidP="00C752A3">
            <w:r w:rsidRPr="00AE4186">
              <w:rPr>
                <w:lang w:val="ru-RU"/>
              </w:rPr>
              <w:t>0</w:t>
            </w:r>
            <w:r w:rsidRPr="00AE4186">
              <w:t>,</w:t>
            </w:r>
            <w:r w:rsidRPr="00AE4186">
              <w:rPr>
                <w:lang w:val="ru-RU"/>
              </w:rPr>
              <w:t>1</w:t>
            </w:r>
            <w:r w:rsidRPr="00AE4186">
              <w:t>0</w:t>
            </w:r>
          </w:p>
        </w:tc>
        <w:tc>
          <w:tcPr>
            <w:tcW w:w="1418" w:type="dxa"/>
          </w:tcPr>
          <w:p w:rsidR="008A39EC" w:rsidRDefault="008A39EC" w:rsidP="00C752A3">
            <w:r w:rsidRPr="004A4289">
              <w:rPr>
                <w:lang w:val="ru-RU"/>
              </w:rPr>
              <w:t>0</w:t>
            </w:r>
            <w:r w:rsidRPr="004A4289">
              <w:t>,</w:t>
            </w:r>
            <w:r w:rsidRPr="004A4289">
              <w:rPr>
                <w:lang w:val="ru-RU"/>
              </w:rPr>
              <w:t>1</w:t>
            </w:r>
            <w:r w:rsidRPr="004A4289">
              <w:t>0</w:t>
            </w:r>
          </w:p>
        </w:tc>
        <w:tc>
          <w:tcPr>
            <w:tcW w:w="1559" w:type="dxa"/>
          </w:tcPr>
          <w:p w:rsidR="008A39EC" w:rsidRDefault="008A39EC" w:rsidP="00C752A3">
            <w:r w:rsidRPr="004A4289">
              <w:rPr>
                <w:lang w:val="ru-RU"/>
              </w:rPr>
              <w:t>0</w:t>
            </w:r>
            <w:r w:rsidRPr="004A4289">
              <w:t>,</w:t>
            </w:r>
            <w:r w:rsidRPr="004A4289">
              <w:rPr>
                <w:lang w:val="ru-RU"/>
              </w:rPr>
              <w:t>1</w:t>
            </w:r>
            <w:r w:rsidRPr="004A4289">
              <w:t>0</w:t>
            </w:r>
          </w:p>
        </w:tc>
        <w:tc>
          <w:tcPr>
            <w:tcW w:w="1559" w:type="dxa"/>
          </w:tcPr>
          <w:p w:rsidR="008A39EC" w:rsidRDefault="008A39EC" w:rsidP="00C752A3">
            <w:r w:rsidRPr="004A4289">
              <w:rPr>
                <w:lang w:val="ru-RU"/>
              </w:rPr>
              <w:t>0</w:t>
            </w:r>
            <w:r w:rsidRPr="004A4289">
              <w:t>,</w:t>
            </w:r>
            <w:r w:rsidRPr="004A4289">
              <w:rPr>
                <w:lang w:val="ru-RU"/>
              </w:rPr>
              <w:t>1</w:t>
            </w:r>
            <w:r w:rsidRPr="004A4289">
              <w:t>0</w:t>
            </w:r>
          </w:p>
        </w:tc>
        <w:tc>
          <w:tcPr>
            <w:tcW w:w="1560" w:type="dxa"/>
          </w:tcPr>
          <w:p w:rsidR="008A39EC" w:rsidRDefault="008A39EC" w:rsidP="00C752A3">
            <w:r w:rsidRPr="004A4289">
              <w:rPr>
                <w:lang w:val="ru-RU"/>
              </w:rPr>
              <w:t>0</w:t>
            </w:r>
            <w:r w:rsidRPr="004A4289">
              <w:t>,</w:t>
            </w:r>
            <w:r w:rsidRPr="004A4289">
              <w:rPr>
                <w:lang w:val="ru-RU"/>
              </w:rPr>
              <w:t>1</w:t>
            </w:r>
            <w:r w:rsidRPr="004A4289">
              <w:t>0</w:t>
            </w:r>
          </w:p>
        </w:tc>
      </w:tr>
      <w:tr w:rsidR="008A39EC" w:rsidTr="00362265">
        <w:tc>
          <w:tcPr>
            <w:tcW w:w="1418" w:type="dxa"/>
            <w:vMerge/>
          </w:tcPr>
          <w:p w:rsidR="008A39EC" w:rsidRDefault="008A39EC" w:rsidP="001723F9"/>
        </w:tc>
        <w:tc>
          <w:tcPr>
            <w:tcW w:w="1418" w:type="dxa"/>
          </w:tcPr>
          <w:p w:rsidR="008A39EC" w:rsidRDefault="008A39EC" w:rsidP="001723F9">
            <w:r>
              <w:t>Євро</w:t>
            </w:r>
          </w:p>
        </w:tc>
        <w:tc>
          <w:tcPr>
            <w:tcW w:w="2693" w:type="dxa"/>
          </w:tcPr>
          <w:p w:rsidR="008A39EC" w:rsidRDefault="008A39EC" w:rsidP="001723F9">
            <w:r>
              <w:t>щомісячно</w:t>
            </w:r>
          </w:p>
        </w:tc>
        <w:tc>
          <w:tcPr>
            <w:tcW w:w="1559" w:type="dxa"/>
          </w:tcPr>
          <w:p w:rsidR="008A39EC" w:rsidRDefault="008A39EC" w:rsidP="00C752A3">
            <w:r w:rsidRPr="00AE4186">
              <w:rPr>
                <w:lang w:val="ru-RU"/>
              </w:rPr>
              <w:t>0</w:t>
            </w:r>
            <w:r w:rsidRPr="00AE4186">
              <w:t>,</w:t>
            </w:r>
            <w:r w:rsidRPr="00AE4186">
              <w:rPr>
                <w:lang w:val="ru-RU"/>
              </w:rPr>
              <w:t>1</w:t>
            </w:r>
            <w:r w:rsidRPr="00AE4186">
              <w:t>0</w:t>
            </w:r>
          </w:p>
        </w:tc>
        <w:tc>
          <w:tcPr>
            <w:tcW w:w="1418" w:type="dxa"/>
          </w:tcPr>
          <w:p w:rsidR="008A39EC" w:rsidRDefault="008A39EC" w:rsidP="00C752A3">
            <w:r w:rsidRPr="004A4289">
              <w:rPr>
                <w:lang w:val="ru-RU"/>
              </w:rPr>
              <w:t>0</w:t>
            </w:r>
            <w:r w:rsidRPr="004A4289">
              <w:t>,</w:t>
            </w:r>
            <w:r w:rsidRPr="004A4289">
              <w:rPr>
                <w:lang w:val="ru-RU"/>
              </w:rPr>
              <w:t>1</w:t>
            </w:r>
            <w:r w:rsidRPr="004A4289">
              <w:t>0</w:t>
            </w:r>
          </w:p>
        </w:tc>
        <w:tc>
          <w:tcPr>
            <w:tcW w:w="1559" w:type="dxa"/>
          </w:tcPr>
          <w:p w:rsidR="008A39EC" w:rsidRDefault="008A39EC" w:rsidP="00C752A3">
            <w:r w:rsidRPr="004A4289">
              <w:rPr>
                <w:lang w:val="ru-RU"/>
              </w:rPr>
              <w:t>0</w:t>
            </w:r>
            <w:r w:rsidRPr="004A4289">
              <w:t>,</w:t>
            </w:r>
            <w:r w:rsidRPr="004A4289">
              <w:rPr>
                <w:lang w:val="ru-RU"/>
              </w:rPr>
              <w:t>1</w:t>
            </w:r>
            <w:r w:rsidRPr="004A4289">
              <w:t>0</w:t>
            </w:r>
          </w:p>
        </w:tc>
        <w:tc>
          <w:tcPr>
            <w:tcW w:w="1559" w:type="dxa"/>
          </w:tcPr>
          <w:p w:rsidR="008A39EC" w:rsidRDefault="008A39EC" w:rsidP="00C752A3">
            <w:r w:rsidRPr="004A4289">
              <w:rPr>
                <w:lang w:val="ru-RU"/>
              </w:rPr>
              <w:t>0</w:t>
            </w:r>
            <w:r w:rsidRPr="004A4289">
              <w:t>,</w:t>
            </w:r>
            <w:r w:rsidRPr="004A4289">
              <w:rPr>
                <w:lang w:val="ru-RU"/>
              </w:rPr>
              <w:t>1</w:t>
            </w:r>
            <w:r w:rsidRPr="004A4289">
              <w:t>0</w:t>
            </w:r>
          </w:p>
        </w:tc>
        <w:tc>
          <w:tcPr>
            <w:tcW w:w="1560" w:type="dxa"/>
          </w:tcPr>
          <w:p w:rsidR="008A39EC" w:rsidRDefault="008A39EC" w:rsidP="00C752A3">
            <w:r w:rsidRPr="004A4289">
              <w:rPr>
                <w:lang w:val="ru-RU"/>
              </w:rPr>
              <w:t>0</w:t>
            </w:r>
            <w:r w:rsidRPr="004A4289">
              <w:t>,</w:t>
            </w:r>
            <w:r w:rsidRPr="004A4289">
              <w:rPr>
                <w:lang w:val="ru-RU"/>
              </w:rPr>
              <w:t>1</w:t>
            </w:r>
            <w:r w:rsidRPr="004A4289">
              <w:t>0</w:t>
            </w:r>
          </w:p>
        </w:tc>
      </w:tr>
    </w:tbl>
    <w:p w:rsidR="00D52EEF" w:rsidRPr="00727DD7" w:rsidRDefault="00D52EEF" w:rsidP="00D52EEF">
      <w:pPr>
        <w:numPr>
          <w:ilvl w:val="0"/>
          <w:numId w:val="1"/>
        </w:numPr>
        <w:shd w:val="clear" w:color="auto" w:fill="F1F3F5"/>
        <w:spacing w:before="100" w:beforeAutospacing="1" w:after="100" w:afterAutospacing="1" w:line="240" w:lineRule="auto"/>
        <w:ind w:left="331" w:right="389"/>
      </w:pPr>
      <w:r>
        <w:t>С</w:t>
      </w:r>
      <w:r w:rsidRPr="00727DD7">
        <w:t>трок вкладу від 1 до 12 місяців.</w:t>
      </w:r>
    </w:p>
    <w:p w:rsidR="00D52EEF" w:rsidRPr="00727DD7" w:rsidRDefault="00D52EEF" w:rsidP="00D52EEF">
      <w:pPr>
        <w:numPr>
          <w:ilvl w:val="0"/>
          <w:numId w:val="1"/>
        </w:numPr>
        <w:shd w:val="clear" w:color="auto" w:fill="F1F3F5"/>
        <w:spacing w:before="100" w:beforeAutospacing="1" w:after="100" w:afterAutospacing="1" w:line="240" w:lineRule="auto"/>
        <w:ind w:left="331" w:right="389"/>
      </w:pPr>
      <w:r w:rsidRPr="00727DD7">
        <w:t>Мінімальна сума вкладу - не менше ніж 10000,00 грн., 500,00 доларів США., 500,00 Євро.</w:t>
      </w:r>
    </w:p>
    <w:p w:rsidR="00D52EEF" w:rsidRPr="00727DD7" w:rsidRDefault="00D52EEF" w:rsidP="00D52EEF">
      <w:pPr>
        <w:numPr>
          <w:ilvl w:val="0"/>
          <w:numId w:val="1"/>
        </w:numPr>
        <w:shd w:val="clear" w:color="auto" w:fill="F1F3F5"/>
        <w:spacing w:before="100" w:beforeAutospacing="1" w:after="100" w:afterAutospacing="1" w:line="240" w:lineRule="auto"/>
        <w:ind w:left="331" w:right="389"/>
      </w:pPr>
      <w:r>
        <w:t>З правом</w:t>
      </w:r>
      <w:r w:rsidRPr="00727DD7">
        <w:t xml:space="preserve"> поповнення.</w:t>
      </w:r>
    </w:p>
    <w:p w:rsidR="00D52EEF" w:rsidRDefault="00D52EEF" w:rsidP="00D52EEF">
      <w:pPr>
        <w:numPr>
          <w:ilvl w:val="0"/>
          <w:numId w:val="1"/>
        </w:numPr>
        <w:shd w:val="clear" w:color="auto" w:fill="F1F3F5"/>
        <w:spacing w:before="100" w:beforeAutospacing="1" w:after="100" w:afterAutospacing="1" w:line="240" w:lineRule="auto"/>
        <w:ind w:left="331" w:right="389"/>
      </w:pPr>
      <w:r w:rsidRPr="00727DD7">
        <w:t xml:space="preserve">Виплата відсотків - </w:t>
      </w:r>
      <w:r>
        <w:t>щомісячно</w:t>
      </w:r>
      <w:r w:rsidRPr="00727DD7">
        <w:t>.</w:t>
      </w:r>
    </w:p>
    <w:p w:rsidR="00D52EEF" w:rsidRPr="00727DD7" w:rsidRDefault="00D52EEF" w:rsidP="00D52EEF">
      <w:pPr>
        <w:numPr>
          <w:ilvl w:val="0"/>
          <w:numId w:val="1"/>
        </w:numPr>
        <w:shd w:val="clear" w:color="auto" w:fill="F1F3F5"/>
        <w:spacing w:before="100" w:beforeAutospacing="1" w:after="100" w:afterAutospacing="1" w:line="240" w:lineRule="auto"/>
        <w:ind w:left="331" w:right="389"/>
      </w:pPr>
      <w:r>
        <w:t xml:space="preserve">Умови дострокового розірвання – </w:t>
      </w:r>
      <w:r w:rsidR="00775AFE">
        <w:t>за ставкою по поточних рахунках</w:t>
      </w:r>
    </w:p>
    <w:p w:rsidR="00D52EEF" w:rsidRDefault="00D52EEF" w:rsidP="00D52EEF">
      <w:pPr>
        <w:numPr>
          <w:ilvl w:val="0"/>
          <w:numId w:val="1"/>
        </w:numPr>
        <w:shd w:val="clear" w:color="auto" w:fill="F1F3F5"/>
        <w:spacing w:before="100" w:beforeAutospacing="1" w:after="100" w:afterAutospacing="1" w:line="240" w:lineRule="auto"/>
        <w:ind w:left="331" w:right="389"/>
      </w:pPr>
      <w:r>
        <w:t>Автоматичне продовження строку дії договору – допускається</w:t>
      </w:r>
    </w:p>
    <w:sectPr w:rsidR="00D52EEF" w:rsidSect="00362265">
      <w:pgSz w:w="16838" w:h="11906" w:orient="landscape"/>
      <w:pgMar w:top="90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F3EEC"/>
    <w:multiLevelType w:val="multilevel"/>
    <w:tmpl w:val="6D1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D7"/>
    <w:rsid w:val="000234DF"/>
    <w:rsid w:val="000823C4"/>
    <w:rsid w:val="00362265"/>
    <w:rsid w:val="00727DD7"/>
    <w:rsid w:val="00775AFE"/>
    <w:rsid w:val="00843AE9"/>
    <w:rsid w:val="008A39EC"/>
    <w:rsid w:val="008A7703"/>
    <w:rsid w:val="008D30CA"/>
    <w:rsid w:val="00914E89"/>
    <w:rsid w:val="009454A0"/>
    <w:rsid w:val="00C835D5"/>
    <w:rsid w:val="00D5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2E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2E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1581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Дарія Володимирівна</dc:creator>
  <cp:lastModifiedBy>Луценко Дарія Володимирівна</cp:lastModifiedBy>
  <cp:revision>3</cp:revision>
  <dcterms:created xsi:type="dcterms:W3CDTF">2020-09-30T15:14:00Z</dcterms:created>
  <dcterms:modified xsi:type="dcterms:W3CDTF">2020-10-06T08:27:00Z</dcterms:modified>
</cp:coreProperties>
</file>